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2017/212 vom 29. Januar 2020</w:t>
      </w:r>
    </w:p>
    <w:p>
      <w:r>
        <w:t>Sg Versicherungsgericht, 2020-01-29, DE</w:t>
      </w:r>
    </w:p>
    <w:p>
      <w:r>
        <w:rPr>
          <w:b/>
        </w:rPr>
        <w:t xml:space="preserve">Quelle: </w:t>
      </w:r>
      <w:r>
        <w:t>https://mcp.opencaselaw.ch/entscheid/sg_publikationen_IV 2017_212</w:t>
      </w:r>
    </w:p>
    <w:p>
      <w:r>
        <w:t>FR: SG_VERSICHERUNGSGERICHT IV 2017/212 du 29 janvier 2020</w:t>
      </w:r>
    </w:p>
    <w:p>
      <w:r>
        <w:t>IT: SG_VERSICHERUNGSGERICHT IV 2017/212 del 29 gennaio 2020</w:t>
      </w:r>
    </w:p>
    <w:p>
      <w:pPr>
        <w:pStyle w:val="Heading2"/>
      </w:pPr>
      <w:r>
        <w:t>Regeste</w:t>
      </w:r>
    </w:p>
    <w:p>
      <w:r>
        <w:t>Art. 17 Abs. 1 ATSG. Rentenrevision. Insbesondere aufgrund der zwischenzeitlich durchgeführten beiden Rückenoperationen steht nicht mit dem Beweisgrad der überwiegenden Wahrscheinlichkeit fest, dass die vorgutachterliche Beurteilung der Arbeitsfähigkeit für adaptierte Tätigkeiten (50 %) von vor fast 15 Jahren falsch gewesen ist. Da die aktuellen Gutachter die Arbeitsfähigkeit für adaptierte Tätigkeiten überzeugend auf 100 % geschätzt haben, liegt ein Revisionsgrund vor. Der Beschwerdeführer hat demnach keinen Anspruch mehr auf eine Invalidenrente. Abweisung der Beschwerde (Urteil des Versicherungsgerichts des Kantons St. Gallen vom 29. Januar 2020, IV 2017/212).</w:t>
      </w:r>
    </w:p>
    <w:p>
      <w:pPr>
        <w:pStyle w:val="Heading2"/>
      </w:pPr>
      <w:r>
        <w:t>Erwägungen</w:t>
      </w:r>
    </w:p>
    <w:p>
      <w:r>
        <w:rPr>
          <w:b/>
        </w:rPr>
        <w:t>E. 4</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Die Gerichtsgebühr ist durch den von ihm geleisteten Kostenvorschuss von Fr. 600.-- gedeckt. Der Beschwerdeführer hat bei diesem Verfahrensausgang keinen Anspruch auf eine Parteientschädigung. Entscheid im Zirkulationsverfahren gemäss Art. 39 VRP Die Beschwerde wird abgewiesen.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